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856" w:type="dxa"/>
        <w:tblLook w:val="04A0" w:firstRow="1" w:lastRow="0" w:firstColumn="1" w:lastColumn="0" w:noHBand="0" w:noVBand="1"/>
      </w:tblPr>
      <w:tblGrid>
        <w:gridCol w:w="584"/>
        <w:gridCol w:w="987"/>
        <w:gridCol w:w="3510"/>
        <w:gridCol w:w="2896"/>
        <w:gridCol w:w="2655"/>
      </w:tblGrid>
      <w:tr w:rsidR="00983A84" w:rsidRPr="000C6B89" w14:paraId="1C9EA4D7" w14:textId="77777777" w:rsidTr="006F1F82">
        <w:tc>
          <w:tcPr>
            <w:tcW w:w="10632" w:type="dxa"/>
            <w:gridSpan w:val="5"/>
          </w:tcPr>
          <w:p w14:paraId="659B948C" w14:textId="523DACF4" w:rsidR="00983A84" w:rsidRPr="000C6B89" w:rsidRDefault="00983A84" w:rsidP="00983A84">
            <w:pPr>
              <w:jc w:val="center"/>
              <w:rPr>
                <w:rFonts w:cstheme="minorHAnsi"/>
                <w:b/>
              </w:rPr>
            </w:pPr>
            <w:bookmarkStart w:id="0" w:name="_GoBack"/>
            <w:bookmarkEnd w:id="0"/>
            <w:r>
              <w:rPr>
                <w:rFonts w:cstheme="minorHAnsi"/>
                <w:b/>
              </w:rPr>
              <w:t>EVENT FILING</w:t>
            </w:r>
            <w:r>
              <w:rPr>
                <w:rFonts w:cstheme="minorHAnsi"/>
                <w:b/>
              </w:rPr>
              <w:t xml:space="preserve"> WITH MCA</w:t>
            </w:r>
          </w:p>
        </w:tc>
      </w:tr>
      <w:tr w:rsidR="0004244E" w:rsidRPr="000C6B89" w14:paraId="2F579C5D" w14:textId="77777777" w:rsidTr="00852298">
        <w:tc>
          <w:tcPr>
            <w:tcW w:w="584" w:type="dxa"/>
          </w:tcPr>
          <w:p w14:paraId="1CCBD5F4" w14:textId="77777777" w:rsidR="0004244E" w:rsidRPr="000C6B89" w:rsidRDefault="0004244E" w:rsidP="0004244E">
            <w:pPr>
              <w:pStyle w:val="ListParagraph"/>
              <w:ind w:left="360"/>
              <w:jc w:val="both"/>
              <w:rPr>
                <w:rFonts w:cstheme="minorHAnsi"/>
              </w:rPr>
            </w:pPr>
          </w:p>
        </w:tc>
        <w:tc>
          <w:tcPr>
            <w:tcW w:w="987" w:type="dxa"/>
          </w:tcPr>
          <w:p w14:paraId="52DBADE2" w14:textId="4F166DD5" w:rsidR="0004244E" w:rsidRPr="0004244E" w:rsidRDefault="0004244E" w:rsidP="0004244E">
            <w:pPr>
              <w:ind w:left="-39"/>
              <w:jc w:val="both"/>
              <w:rPr>
                <w:rFonts w:cstheme="minorHAnsi"/>
                <w:b/>
              </w:rPr>
            </w:pPr>
            <w:r w:rsidRPr="0004244E">
              <w:rPr>
                <w:rFonts w:cstheme="minorHAnsi"/>
                <w:b/>
              </w:rPr>
              <w:t>FORM/ RETURN</w:t>
            </w:r>
          </w:p>
        </w:tc>
        <w:tc>
          <w:tcPr>
            <w:tcW w:w="3510" w:type="dxa"/>
          </w:tcPr>
          <w:p w14:paraId="50AA9270" w14:textId="140491EB" w:rsidR="0004244E" w:rsidRPr="000C6B89" w:rsidRDefault="0004244E" w:rsidP="0004244E">
            <w:pPr>
              <w:pStyle w:val="T-BODY"/>
              <w:jc w:val="both"/>
              <w:rPr>
                <w:rFonts w:asciiTheme="minorHAnsi" w:hAnsiTheme="minorHAnsi" w:cstheme="minorHAnsi"/>
                <w:sz w:val="22"/>
                <w:szCs w:val="22"/>
              </w:rPr>
            </w:pPr>
            <w:r w:rsidRPr="00F371C3">
              <w:rPr>
                <w:rFonts w:cstheme="minorHAnsi"/>
                <w:b/>
              </w:rPr>
              <w:t xml:space="preserve">Purpose of filing </w:t>
            </w:r>
          </w:p>
        </w:tc>
        <w:tc>
          <w:tcPr>
            <w:tcW w:w="2896" w:type="dxa"/>
          </w:tcPr>
          <w:p w14:paraId="3AC0BCA3" w14:textId="0E5E9873" w:rsidR="0004244E" w:rsidRPr="000C6B89" w:rsidRDefault="0004244E" w:rsidP="0004244E">
            <w:pPr>
              <w:pStyle w:val="T-BODY"/>
              <w:jc w:val="both"/>
              <w:rPr>
                <w:rFonts w:asciiTheme="minorHAnsi" w:hAnsiTheme="minorHAnsi" w:cstheme="minorHAnsi"/>
                <w:sz w:val="22"/>
                <w:szCs w:val="22"/>
              </w:rPr>
            </w:pPr>
            <w:r w:rsidRPr="00F371C3">
              <w:rPr>
                <w:rFonts w:cstheme="minorHAnsi"/>
                <w:b/>
              </w:rPr>
              <w:t>Due Date</w:t>
            </w:r>
          </w:p>
        </w:tc>
        <w:tc>
          <w:tcPr>
            <w:tcW w:w="2655" w:type="dxa"/>
          </w:tcPr>
          <w:p w14:paraId="0F118CEA" w14:textId="5E0B3078" w:rsidR="0004244E" w:rsidRPr="000C6B89" w:rsidRDefault="0004244E" w:rsidP="0004244E">
            <w:pPr>
              <w:jc w:val="both"/>
              <w:rPr>
                <w:rFonts w:cstheme="minorHAnsi"/>
                <w:b/>
              </w:rPr>
            </w:pPr>
            <w:r w:rsidRPr="0062136F">
              <w:rPr>
                <w:rFonts w:cstheme="minorHAnsi"/>
                <w:b/>
              </w:rPr>
              <w:t>Companies Act Provisions</w:t>
            </w:r>
          </w:p>
        </w:tc>
      </w:tr>
      <w:tr w:rsidR="0004244E" w:rsidRPr="000C6B89" w14:paraId="5343C1B1" w14:textId="77777777" w:rsidTr="00852298">
        <w:tc>
          <w:tcPr>
            <w:tcW w:w="584" w:type="dxa"/>
          </w:tcPr>
          <w:p w14:paraId="2CD26A7C" w14:textId="77777777" w:rsidR="0004244E" w:rsidRPr="000C6B89" w:rsidRDefault="0004244E" w:rsidP="00A86C7C">
            <w:pPr>
              <w:pStyle w:val="ListParagraph"/>
              <w:numPr>
                <w:ilvl w:val="0"/>
                <w:numId w:val="2"/>
              </w:numPr>
              <w:jc w:val="both"/>
              <w:rPr>
                <w:rFonts w:cstheme="minorHAnsi"/>
              </w:rPr>
            </w:pPr>
          </w:p>
        </w:tc>
        <w:tc>
          <w:tcPr>
            <w:tcW w:w="987" w:type="dxa"/>
          </w:tcPr>
          <w:p w14:paraId="1F4BDA7C" w14:textId="7BB20504" w:rsidR="0004244E" w:rsidRPr="000C6B89" w:rsidRDefault="0004244E" w:rsidP="00852298">
            <w:pPr>
              <w:ind w:left="-39"/>
              <w:jc w:val="both"/>
              <w:rPr>
                <w:rFonts w:cstheme="minorHAnsi"/>
              </w:rPr>
            </w:pPr>
            <w:r>
              <w:rPr>
                <w:rFonts w:cstheme="minorHAnsi"/>
              </w:rPr>
              <w:t>PAS -3</w:t>
            </w:r>
          </w:p>
        </w:tc>
        <w:tc>
          <w:tcPr>
            <w:tcW w:w="3510" w:type="dxa"/>
          </w:tcPr>
          <w:p w14:paraId="3C098CCE" w14:textId="77777777" w:rsidR="0004244E" w:rsidRPr="000C6B89" w:rsidRDefault="0004244E" w:rsidP="00852298">
            <w:pPr>
              <w:pStyle w:val="T-BODY"/>
              <w:jc w:val="both"/>
              <w:rPr>
                <w:rFonts w:asciiTheme="minorHAnsi" w:hAnsiTheme="minorHAnsi" w:cstheme="minorHAnsi"/>
                <w:sz w:val="22"/>
                <w:szCs w:val="22"/>
              </w:rPr>
            </w:pPr>
          </w:p>
        </w:tc>
        <w:tc>
          <w:tcPr>
            <w:tcW w:w="2896" w:type="dxa"/>
          </w:tcPr>
          <w:p w14:paraId="556B98CC" w14:textId="77777777" w:rsidR="0004244E" w:rsidRPr="000C6B89" w:rsidRDefault="0004244E" w:rsidP="00852298">
            <w:pPr>
              <w:pStyle w:val="T-BODY"/>
              <w:jc w:val="both"/>
              <w:rPr>
                <w:rFonts w:asciiTheme="minorHAnsi" w:hAnsiTheme="minorHAnsi" w:cstheme="minorHAnsi"/>
                <w:sz w:val="22"/>
                <w:szCs w:val="22"/>
              </w:rPr>
            </w:pPr>
          </w:p>
        </w:tc>
        <w:tc>
          <w:tcPr>
            <w:tcW w:w="2655" w:type="dxa"/>
          </w:tcPr>
          <w:p w14:paraId="1BD19B69" w14:textId="77777777" w:rsidR="0004244E" w:rsidRPr="000C6B89" w:rsidRDefault="0004244E" w:rsidP="00852298">
            <w:pPr>
              <w:jc w:val="both"/>
              <w:rPr>
                <w:rFonts w:cstheme="minorHAnsi"/>
                <w:b/>
              </w:rPr>
            </w:pPr>
          </w:p>
        </w:tc>
      </w:tr>
      <w:tr w:rsidR="00A86C7C" w:rsidRPr="000C6B89" w14:paraId="2F81FAC0" w14:textId="77777777" w:rsidTr="00852298">
        <w:tc>
          <w:tcPr>
            <w:tcW w:w="584" w:type="dxa"/>
          </w:tcPr>
          <w:p w14:paraId="0D2687C0" w14:textId="77777777" w:rsidR="00A86C7C" w:rsidRPr="000C6B89" w:rsidRDefault="00A86C7C" w:rsidP="00A86C7C">
            <w:pPr>
              <w:pStyle w:val="ListParagraph"/>
              <w:numPr>
                <w:ilvl w:val="0"/>
                <w:numId w:val="2"/>
              </w:numPr>
              <w:jc w:val="both"/>
              <w:rPr>
                <w:rFonts w:cstheme="minorHAnsi"/>
              </w:rPr>
            </w:pPr>
          </w:p>
        </w:tc>
        <w:tc>
          <w:tcPr>
            <w:tcW w:w="987" w:type="dxa"/>
          </w:tcPr>
          <w:p w14:paraId="1A329AB5" w14:textId="77777777" w:rsidR="00A86C7C" w:rsidRPr="000C6B89" w:rsidRDefault="00A86C7C" w:rsidP="00852298">
            <w:pPr>
              <w:ind w:left="-39"/>
              <w:jc w:val="both"/>
              <w:rPr>
                <w:rFonts w:cstheme="minorHAnsi"/>
              </w:rPr>
            </w:pPr>
            <w:r w:rsidRPr="000C6B89">
              <w:rPr>
                <w:rFonts w:cstheme="minorHAnsi"/>
              </w:rPr>
              <w:t>DIR-12</w:t>
            </w:r>
          </w:p>
        </w:tc>
        <w:tc>
          <w:tcPr>
            <w:tcW w:w="3510" w:type="dxa"/>
          </w:tcPr>
          <w:p w14:paraId="2265CFF2" w14:textId="77777777" w:rsidR="00A86C7C" w:rsidRPr="000C6B89" w:rsidRDefault="00A86C7C" w:rsidP="00852298">
            <w:pPr>
              <w:pStyle w:val="T-BODY"/>
              <w:jc w:val="both"/>
              <w:rPr>
                <w:rFonts w:asciiTheme="minorHAnsi" w:hAnsiTheme="minorHAnsi" w:cstheme="minorHAnsi"/>
                <w:sz w:val="22"/>
                <w:szCs w:val="22"/>
              </w:rPr>
            </w:pPr>
            <w:r w:rsidRPr="000C6B89">
              <w:rPr>
                <w:rFonts w:asciiTheme="minorHAnsi" w:hAnsiTheme="minorHAnsi" w:cstheme="minorHAnsi"/>
                <w:sz w:val="22"/>
                <w:szCs w:val="22"/>
              </w:rPr>
              <w:t>Particulars of appointment of directors and the key managerial personnel and the changes among them.</w:t>
            </w:r>
          </w:p>
        </w:tc>
        <w:tc>
          <w:tcPr>
            <w:tcW w:w="2896" w:type="dxa"/>
          </w:tcPr>
          <w:p w14:paraId="36E7479D" w14:textId="77777777" w:rsidR="00A86C7C" w:rsidRPr="000C6B89" w:rsidRDefault="00A86C7C" w:rsidP="00852298">
            <w:pPr>
              <w:pStyle w:val="T-BODY"/>
              <w:jc w:val="both"/>
              <w:rPr>
                <w:rFonts w:asciiTheme="minorHAnsi" w:hAnsiTheme="minorHAnsi" w:cstheme="minorHAnsi"/>
                <w:sz w:val="22"/>
                <w:szCs w:val="22"/>
              </w:rPr>
            </w:pPr>
            <w:r w:rsidRPr="000C6B89">
              <w:rPr>
                <w:rFonts w:asciiTheme="minorHAnsi" w:hAnsiTheme="minorHAnsi" w:cstheme="minorHAnsi"/>
                <w:sz w:val="22"/>
                <w:szCs w:val="22"/>
              </w:rPr>
              <w:t>To be filed within 30 days from the date of AGM/BM in which the director or KMP is appointed or any change taking place in their designations.</w:t>
            </w:r>
          </w:p>
        </w:tc>
        <w:tc>
          <w:tcPr>
            <w:tcW w:w="2655" w:type="dxa"/>
          </w:tcPr>
          <w:p w14:paraId="61B31D90" w14:textId="77777777" w:rsidR="00A86C7C" w:rsidRPr="000C6B89" w:rsidRDefault="00A86C7C" w:rsidP="00852298">
            <w:pPr>
              <w:jc w:val="both"/>
              <w:rPr>
                <w:rFonts w:cstheme="minorHAnsi"/>
              </w:rPr>
            </w:pPr>
            <w:r w:rsidRPr="000C6B89">
              <w:rPr>
                <w:rFonts w:cstheme="minorHAnsi"/>
                <w:b/>
              </w:rPr>
              <w:t>Section 170  and Companies (Appointment and Qualification of Directors) Rules, 2014</w:t>
            </w:r>
          </w:p>
        </w:tc>
      </w:tr>
      <w:tr w:rsidR="00A86C7C" w:rsidRPr="000C6B89" w14:paraId="777DC256" w14:textId="77777777" w:rsidTr="00852298">
        <w:tc>
          <w:tcPr>
            <w:tcW w:w="584" w:type="dxa"/>
          </w:tcPr>
          <w:p w14:paraId="287D5EA2" w14:textId="77777777" w:rsidR="00A86C7C" w:rsidRPr="000C6B89" w:rsidRDefault="00A86C7C" w:rsidP="00A86C7C">
            <w:pPr>
              <w:pStyle w:val="ListParagraph"/>
              <w:numPr>
                <w:ilvl w:val="0"/>
                <w:numId w:val="2"/>
              </w:numPr>
              <w:jc w:val="both"/>
              <w:rPr>
                <w:rFonts w:cstheme="minorHAnsi"/>
              </w:rPr>
            </w:pPr>
          </w:p>
        </w:tc>
        <w:tc>
          <w:tcPr>
            <w:tcW w:w="987" w:type="dxa"/>
          </w:tcPr>
          <w:p w14:paraId="6CA4403F" w14:textId="77777777" w:rsidR="00A86C7C" w:rsidRPr="000C6B89" w:rsidRDefault="00A86C7C" w:rsidP="00852298">
            <w:pPr>
              <w:ind w:left="-39"/>
              <w:jc w:val="both"/>
              <w:rPr>
                <w:rFonts w:cstheme="minorHAnsi"/>
              </w:rPr>
            </w:pPr>
            <w:r w:rsidRPr="000C6B89">
              <w:rPr>
                <w:rFonts w:cstheme="minorHAnsi"/>
              </w:rPr>
              <w:t>DIR-12</w:t>
            </w:r>
          </w:p>
        </w:tc>
        <w:tc>
          <w:tcPr>
            <w:tcW w:w="3510" w:type="dxa"/>
          </w:tcPr>
          <w:p w14:paraId="74419117" w14:textId="77777777" w:rsidR="00A86C7C" w:rsidRPr="000C6B89" w:rsidRDefault="00A86C7C" w:rsidP="00852298">
            <w:pPr>
              <w:pStyle w:val="T-BODY"/>
              <w:jc w:val="both"/>
              <w:rPr>
                <w:rFonts w:asciiTheme="minorHAnsi" w:hAnsiTheme="minorHAnsi" w:cstheme="minorHAnsi"/>
                <w:sz w:val="22"/>
                <w:szCs w:val="22"/>
              </w:rPr>
            </w:pPr>
            <w:r w:rsidRPr="000C6B89">
              <w:rPr>
                <w:rFonts w:asciiTheme="minorHAnsi" w:hAnsiTheme="minorHAnsi" w:cstheme="minorHAnsi"/>
                <w:sz w:val="22"/>
                <w:szCs w:val="22"/>
              </w:rPr>
              <w:t>Particulars of appointment of directors and the key managerial personnel and the changes among them.</w:t>
            </w:r>
          </w:p>
        </w:tc>
        <w:tc>
          <w:tcPr>
            <w:tcW w:w="2896" w:type="dxa"/>
          </w:tcPr>
          <w:p w14:paraId="12682841" w14:textId="77777777" w:rsidR="00A86C7C" w:rsidRPr="000C6B89" w:rsidRDefault="00A86C7C" w:rsidP="00852298">
            <w:pPr>
              <w:pStyle w:val="T-BODY"/>
              <w:jc w:val="both"/>
              <w:rPr>
                <w:rFonts w:asciiTheme="minorHAnsi" w:hAnsiTheme="minorHAnsi" w:cstheme="minorHAnsi"/>
                <w:sz w:val="22"/>
                <w:szCs w:val="22"/>
              </w:rPr>
            </w:pPr>
            <w:r w:rsidRPr="000C6B89">
              <w:rPr>
                <w:rFonts w:asciiTheme="minorHAnsi" w:hAnsiTheme="minorHAnsi" w:cstheme="minorHAnsi"/>
                <w:sz w:val="22"/>
                <w:szCs w:val="22"/>
              </w:rPr>
              <w:t>To be filed within 30 days from the date of resignation i.e. date on which the notice is received by the company or the date, if any, specified by the director in the notice, whichever is later.</w:t>
            </w:r>
          </w:p>
        </w:tc>
        <w:tc>
          <w:tcPr>
            <w:tcW w:w="2655" w:type="dxa"/>
          </w:tcPr>
          <w:p w14:paraId="40DCF3B2" w14:textId="77777777" w:rsidR="00A86C7C" w:rsidRPr="000C6B89" w:rsidRDefault="00A86C7C" w:rsidP="00852298">
            <w:pPr>
              <w:pStyle w:val="T-BODY"/>
              <w:jc w:val="both"/>
              <w:rPr>
                <w:rFonts w:asciiTheme="minorHAnsi" w:hAnsiTheme="minorHAnsi" w:cstheme="minorHAnsi"/>
                <w:b/>
                <w:sz w:val="22"/>
                <w:szCs w:val="22"/>
              </w:rPr>
            </w:pPr>
            <w:r w:rsidRPr="000C6B89">
              <w:rPr>
                <w:rFonts w:asciiTheme="minorHAnsi" w:hAnsiTheme="minorHAnsi" w:cstheme="minorHAnsi"/>
                <w:b/>
                <w:sz w:val="22"/>
                <w:szCs w:val="22"/>
              </w:rPr>
              <w:t>Section 168  and Companies (Appointment and Qualification of Directors) Rules, 2014</w:t>
            </w:r>
          </w:p>
        </w:tc>
      </w:tr>
      <w:tr w:rsidR="00A86C7C" w:rsidRPr="000C6B89" w14:paraId="167E2EC0" w14:textId="77777777" w:rsidTr="00852298">
        <w:tc>
          <w:tcPr>
            <w:tcW w:w="584" w:type="dxa"/>
          </w:tcPr>
          <w:p w14:paraId="2E9552CE" w14:textId="77777777" w:rsidR="00A86C7C" w:rsidRPr="000C6B89" w:rsidRDefault="00A86C7C" w:rsidP="00A86C7C">
            <w:pPr>
              <w:pStyle w:val="ListParagraph"/>
              <w:numPr>
                <w:ilvl w:val="0"/>
                <w:numId w:val="2"/>
              </w:numPr>
              <w:jc w:val="both"/>
              <w:rPr>
                <w:rFonts w:cstheme="minorHAnsi"/>
              </w:rPr>
            </w:pPr>
          </w:p>
        </w:tc>
        <w:tc>
          <w:tcPr>
            <w:tcW w:w="987" w:type="dxa"/>
          </w:tcPr>
          <w:p w14:paraId="31968287" w14:textId="77777777" w:rsidR="00A86C7C" w:rsidRPr="000C6B89" w:rsidRDefault="00A86C7C" w:rsidP="00852298">
            <w:pPr>
              <w:ind w:left="-39"/>
              <w:jc w:val="both"/>
              <w:rPr>
                <w:rFonts w:cstheme="minorHAnsi"/>
              </w:rPr>
            </w:pPr>
            <w:r w:rsidRPr="000C6B89">
              <w:rPr>
                <w:rFonts w:cstheme="minorHAnsi"/>
              </w:rPr>
              <w:t>MGT-14</w:t>
            </w:r>
          </w:p>
        </w:tc>
        <w:tc>
          <w:tcPr>
            <w:tcW w:w="3510" w:type="dxa"/>
          </w:tcPr>
          <w:p w14:paraId="761A38C6" w14:textId="6D813A38" w:rsidR="00A86C7C" w:rsidRDefault="00A86C7C" w:rsidP="00852298">
            <w:pPr>
              <w:pStyle w:val="T-BODY"/>
              <w:jc w:val="both"/>
              <w:rPr>
                <w:rFonts w:asciiTheme="minorHAnsi" w:hAnsiTheme="minorHAnsi" w:cstheme="minorHAnsi"/>
                <w:sz w:val="22"/>
                <w:szCs w:val="22"/>
              </w:rPr>
            </w:pPr>
            <w:r w:rsidRPr="000C6B89">
              <w:rPr>
                <w:rFonts w:asciiTheme="minorHAnsi" w:hAnsiTheme="minorHAnsi" w:cstheme="minorHAnsi"/>
                <w:sz w:val="22"/>
                <w:szCs w:val="22"/>
              </w:rPr>
              <w:t>Filing of Resolutions and agreements with the Registrar</w:t>
            </w:r>
            <w:r>
              <w:rPr>
                <w:rFonts w:asciiTheme="minorHAnsi" w:hAnsiTheme="minorHAnsi" w:cstheme="minorHAnsi"/>
                <w:sz w:val="22"/>
                <w:szCs w:val="22"/>
              </w:rPr>
              <w:t xml:space="preserve"> of Companies</w:t>
            </w:r>
            <w:r w:rsidR="0004244E">
              <w:rPr>
                <w:rFonts w:asciiTheme="minorHAnsi" w:hAnsiTheme="minorHAnsi" w:cstheme="minorHAnsi"/>
                <w:sz w:val="22"/>
                <w:szCs w:val="22"/>
              </w:rPr>
              <w:t xml:space="preserve"> (MCA)</w:t>
            </w:r>
          </w:p>
          <w:p w14:paraId="67010BEC" w14:textId="77777777" w:rsidR="00A86C7C" w:rsidRPr="000C6B89" w:rsidRDefault="00A86C7C" w:rsidP="00852298">
            <w:pPr>
              <w:pStyle w:val="indent1"/>
              <w:spacing w:before="0" w:beforeAutospacing="0" w:after="0" w:afterAutospacing="0"/>
              <w:jc w:val="both"/>
              <w:rPr>
                <w:rFonts w:asciiTheme="minorHAnsi" w:hAnsiTheme="minorHAnsi" w:cstheme="minorHAnsi"/>
                <w:sz w:val="22"/>
                <w:szCs w:val="22"/>
              </w:rPr>
            </w:pPr>
            <w:r w:rsidRPr="000C6B89">
              <w:rPr>
                <w:rFonts w:asciiTheme="minorHAnsi" w:hAnsiTheme="minorHAnsi" w:cstheme="minorHAnsi"/>
                <w:sz w:val="22"/>
                <w:szCs w:val="22"/>
              </w:rPr>
              <w:t>Applicable to every company in case of:-</w:t>
            </w:r>
          </w:p>
          <w:p w14:paraId="2E3350A6" w14:textId="77777777" w:rsidR="00A86C7C" w:rsidRPr="000C6B89" w:rsidRDefault="00A86C7C" w:rsidP="00852298">
            <w:pPr>
              <w:pStyle w:val="indent1"/>
              <w:numPr>
                <w:ilvl w:val="0"/>
                <w:numId w:val="1"/>
              </w:numPr>
              <w:spacing w:before="0" w:beforeAutospacing="0" w:after="0" w:afterAutospacing="0"/>
              <w:ind w:left="142" w:hanging="142"/>
              <w:jc w:val="both"/>
              <w:rPr>
                <w:rFonts w:asciiTheme="minorHAnsi" w:hAnsiTheme="minorHAnsi" w:cstheme="minorHAnsi"/>
                <w:sz w:val="22"/>
                <w:szCs w:val="22"/>
              </w:rPr>
            </w:pPr>
            <w:r w:rsidRPr="000C6B89">
              <w:rPr>
                <w:rFonts w:asciiTheme="minorHAnsi" w:hAnsiTheme="minorHAnsi" w:cstheme="minorHAnsi"/>
                <w:sz w:val="22"/>
                <w:szCs w:val="22"/>
              </w:rPr>
              <w:t>Special resolutions;</w:t>
            </w:r>
          </w:p>
          <w:p w14:paraId="01A9CA13" w14:textId="77777777" w:rsidR="00A86C7C" w:rsidRDefault="00A86C7C" w:rsidP="00852298">
            <w:pPr>
              <w:pStyle w:val="indent1"/>
              <w:numPr>
                <w:ilvl w:val="0"/>
                <w:numId w:val="1"/>
              </w:numPr>
              <w:spacing w:before="0" w:beforeAutospacing="0" w:after="0" w:afterAutospacing="0"/>
              <w:ind w:left="142" w:hanging="142"/>
              <w:jc w:val="both"/>
              <w:rPr>
                <w:rFonts w:asciiTheme="minorHAnsi" w:hAnsiTheme="minorHAnsi" w:cstheme="minorHAnsi"/>
                <w:sz w:val="22"/>
                <w:szCs w:val="22"/>
              </w:rPr>
            </w:pPr>
            <w:r w:rsidRPr="000C6B89">
              <w:rPr>
                <w:rFonts w:asciiTheme="minorHAnsi" w:hAnsiTheme="minorHAnsi" w:cstheme="minorHAnsi"/>
                <w:sz w:val="22"/>
                <w:szCs w:val="22"/>
              </w:rPr>
              <w:t>Any resolution of the Board of Directors of a company or agreement executed by a company, relating to the appointment, re-appointment or renewal of the appointment, or variation of the terms of appointment, of a managing director;</w:t>
            </w:r>
          </w:p>
          <w:p w14:paraId="69B9DF3E" w14:textId="77777777" w:rsidR="00A86C7C" w:rsidRPr="00A86C7C" w:rsidRDefault="00A86C7C" w:rsidP="00852298">
            <w:pPr>
              <w:pStyle w:val="indent1"/>
              <w:numPr>
                <w:ilvl w:val="0"/>
                <w:numId w:val="1"/>
              </w:numPr>
              <w:spacing w:before="0" w:beforeAutospacing="0" w:after="0" w:afterAutospacing="0"/>
              <w:ind w:left="142" w:hanging="142"/>
              <w:jc w:val="both"/>
              <w:rPr>
                <w:rFonts w:asciiTheme="minorHAnsi" w:hAnsiTheme="minorHAnsi" w:cstheme="minorHAnsi"/>
                <w:sz w:val="22"/>
                <w:szCs w:val="22"/>
              </w:rPr>
            </w:pPr>
            <w:commentRangeStart w:id="1"/>
            <w:r w:rsidRPr="00A86C7C">
              <w:rPr>
                <w:rFonts w:asciiTheme="minorHAnsi" w:hAnsiTheme="minorHAnsi" w:cstheme="minorHAnsi"/>
                <w:sz w:val="22"/>
                <w:szCs w:val="22"/>
              </w:rPr>
              <w:t>Other events as specified in section 117(3).</w:t>
            </w:r>
            <w:commentRangeEnd w:id="1"/>
            <w:r>
              <w:rPr>
                <w:rStyle w:val="CommentReference"/>
                <w:rFonts w:asciiTheme="minorHAnsi" w:eastAsiaTheme="minorHAnsi" w:hAnsiTheme="minorHAnsi" w:cstheme="minorBidi"/>
                <w:lang w:eastAsia="en-US"/>
              </w:rPr>
              <w:commentReference w:id="1"/>
            </w:r>
          </w:p>
        </w:tc>
        <w:tc>
          <w:tcPr>
            <w:tcW w:w="2896" w:type="dxa"/>
          </w:tcPr>
          <w:p w14:paraId="1AB62B0A" w14:textId="77777777" w:rsidR="00A86C7C" w:rsidRPr="000C6B89" w:rsidRDefault="00A86C7C" w:rsidP="00852298">
            <w:pPr>
              <w:pStyle w:val="T-BODY"/>
              <w:jc w:val="both"/>
              <w:rPr>
                <w:rFonts w:asciiTheme="minorHAnsi" w:hAnsiTheme="minorHAnsi" w:cstheme="minorHAnsi"/>
                <w:b/>
                <w:sz w:val="22"/>
                <w:szCs w:val="22"/>
              </w:rPr>
            </w:pPr>
            <w:r w:rsidRPr="000C6B89">
              <w:rPr>
                <w:rFonts w:asciiTheme="minorHAnsi" w:hAnsiTheme="minorHAnsi" w:cstheme="minorHAnsi"/>
                <w:sz w:val="22"/>
                <w:szCs w:val="22"/>
              </w:rPr>
              <w:t>To be filed within 30 days of AGM along with the copy of Special resolution</w:t>
            </w:r>
          </w:p>
        </w:tc>
        <w:tc>
          <w:tcPr>
            <w:tcW w:w="2655" w:type="dxa"/>
          </w:tcPr>
          <w:p w14:paraId="599DD195" w14:textId="77777777" w:rsidR="00A86C7C" w:rsidRPr="000C6B89" w:rsidRDefault="00A86C7C" w:rsidP="00852298">
            <w:pPr>
              <w:pStyle w:val="T-BODY"/>
              <w:jc w:val="both"/>
              <w:rPr>
                <w:rFonts w:asciiTheme="minorHAnsi" w:hAnsiTheme="minorHAnsi" w:cstheme="minorHAnsi"/>
                <w:sz w:val="22"/>
                <w:szCs w:val="22"/>
              </w:rPr>
            </w:pPr>
            <w:r w:rsidRPr="000C6B89">
              <w:rPr>
                <w:rFonts w:asciiTheme="minorHAnsi" w:hAnsiTheme="minorHAnsi" w:cstheme="minorHAnsi"/>
                <w:b/>
                <w:sz w:val="22"/>
                <w:szCs w:val="22"/>
              </w:rPr>
              <w:t>Section 117 and The Companies (Management &amp; Administration) Rules, 2014</w:t>
            </w:r>
          </w:p>
        </w:tc>
      </w:tr>
      <w:tr w:rsidR="0004244E" w:rsidRPr="000C6B89" w14:paraId="1F449A42" w14:textId="77777777" w:rsidTr="00852298">
        <w:tc>
          <w:tcPr>
            <w:tcW w:w="584" w:type="dxa"/>
          </w:tcPr>
          <w:p w14:paraId="769F7FAB" w14:textId="77777777" w:rsidR="0004244E" w:rsidRPr="000C6B89" w:rsidRDefault="0004244E" w:rsidP="00A86C7C">
            <w:pPr>
              <w:pStyle w:val="ListParagraph"/>
              <w:numPr>
                <w:ilvl w:val="0"/>
                <w:numId w:val="2"/>
              </w:numPr>
              <w:jc w:val="both"/>
              <w:rPr>
                <w:rFonts w:cstheme="minorHAnsi"/>
              </w:rPr>
            </w:pPr>
          </w:p>
        </w:tc>
        <w:tc>
          <w:tcPr>
            <w:tcW w:w="987" w:type="dxa"/>
          </w:tcPr>
          <w:p w14:paraId="5FF1C63E" w14:textId="68375730" w:rsidR="0004244E" w:rsidRPr="000C6B89" w:rsidRDefault="0004244E" w:rsidP="00852298">
            <w:pPr>
              <w:ind w:left="-39"/>
              <w:jc w:val="both"/>
              <w:rPr>
                <w:rFonts w:cstheme="minorHAnsi"/>
              </w:rPr>
            </w:pPr>
            <w:r>
              <w:rPr>
                <w:rFonts w:cstheme="minorHAnsi"/>
              </w:rPr>
              <w:t>CHG -1</w:t>
            </w:r>
          </w:p>
        </w:tc>
        <w:tc>
          <w:tcPr>
            <w:tcW w:w="3510" w:type="dxa"/>
          </w:tcPr>
          <w:p w14:paraId="594F33EE" w14:textId="77777777" w:rsidR="0004244E" w:rsidRPr="000C6B89" w:rsidRDefault="0004244E" w:rsidP="00852298">
            <w:pPr>
              <w:pStyle w:val="T-BODY"/>
              <w:jc w:val="both"/>
              <w:rPr>
                <w:rFonts w:asciiTheme="minorHAnsi" w:hAnsiTheme="minorHAnsi" w:cstheme="minorHAnsi"/>
                <w:sz w:val="22"/>
                <w:szCs w:val="22"/>
              </w:rPr>
            </w:pPr>
          </w:p>
        </w:tc>
        <w:tc>
          <w:tcPr>
            <w:tcW w:w="2896" w:type="dxa"/>
          </w:tcPr>
          <w:p w14:paraId="4E881185" w14:textId="77777777" w:rsidR="0004244E" w:rsidRPr="000C6B89" w:rsidRDefault="0004244E" w:rsidP="00852298">
            <w:pPr>
              <w:pStyle w:val="T-BODY"/>
              <w:jc w:val="both"/>
              <w:rPr>
                <w:rFonts w:asciiTheme="minorHAnsi" w:hAnsiTheme="minorHAnsi" w:cstheme="minorHAnsi"/>
                <w:sz w:val="22"/>
                <w:szCs w:val="22"/>
              </w:rPr>
            </w:pPr>
          </w:p>
        </w:tc>
        <w:tc>
          <w:tcPr>
            <w:tcW w:w="2655" w:type="dxa"/>
          </w:tcPr>
          <w:p w14:paraId="5514EFE9" w14:textId="77777777" w:rsidR="0004244E" w:rsidRPr="000C6B89" w:rsidRDefault="0004244E" w:rsidP="00852298">
            <w:pPr>
              <w:pStyle w:val="T-BODY"/>
              <w:jc w:val="both"/>
              <w:rPr>
                <w:rFonts w:asciiTheme="minorHAnsi" w:hAnsiTheme="minorHAnsi" w:cstheme="minorHAnsi"/>
                <w:b/>
                <w:sz w:val="22"/>
                <w:szCs w:val="22"/>
              </w:rPr>
            </w:pPr>
          </w:p>
        </w:tc>
      </w:tr>
      <w:tr w:rsidR="0004244E" w:rsidRPr="000C6B89" w14:paraId="57A3CF05" w14:textId="77777777" w:rsidTr="00852298">
        <w:tc>
          <w:tcPr>
            <w:tcW w:w="584" w:type="dxa"/>
          </w:tcPr>
          <w:p w14:paraId="2EFA583A" w14:textId="77777777" w:rsidR="0004244E" w:rsidRPr="000C6B89" w:rsidRDefault="0004244E" w:rsidP="00A86C7C">
            <w:pPr>
              <w:pStyle w:val="ListParagraph"/>
              <w:numPr>
                <w:ilvl w:val="0"/>
                <w:numId w:val="2"/>
              </w:numPr>
              <w:jc w:val="both"/>
              <w:rPr>
                <w:rFonts w:cstheme="minorHAnsi"/>
              </w:rPr>
            </w:pPr>
          </w:p>
        </w:tc>
        <w:tc>
          <w:tcPr>
            <w:tcW w:w="987" w:type="dxa"/>
          </w:tcPr>
          <w:p w14:paraId="5517763F" w14:textId="79AAAF39" w:rsidR="0004244E" w:rsidRDefault="00983A84" w:rsidP="00852298">
            <w:pPr>
              <w:ind w:left="-39"/>
              <w:jc w:val="both"/>
              <w:rPr>
                <w:rFonts w:cstheme="minorHAnsi"/>
              </w:rPr>
            </w:pPr>
            <w:r>
              <w:rPr>
                <w:rFonts w:cstheme="minorHAnsi"/>
              </w:rPr>
              <w:t>CHG -4</w:t>
            </w:r>
          </w:p>
        </w:tc>
        <w:tc>
          <w:tcPr>
            <w:tcW w:w="3510" w:type="dxa"/>
          </w:tcPr>
          <w:p w14:paraId="00202C2D" w14:textId="77777777" w:rsidR="0004244E" w:rsidRPr="000C6B89" w:rsidRDefault="0004244E" w:rsidP="00852298">
            <w:pPr>
              <w:pStyle w:val="T-BODY"/>
              <w:jc w:val="both"/>
              <w:rPr>
                <w:rFonts w:asciiTheme="minorHAnsi" w:hAnsiTheme="minorHAnsi" w:cstheme="minorHAnsi"/>
                <w:sz w:val="22"/>
                <w:szCs w:val="22"/>
              </w:rPr>
            </w:pPr>
          </w:p>
        </w:tc>
        <w:tc>
          <w:tcPr>
            <w:tcW w:w="2896" w:type="dxa"/>
          </w:tcPr>
          <w:p w14:paraId="6D4B734A" w14:textId="77777777" w:rsidR="0004244E" w:rsidRPr="000C6B89" w:rsidRDefault="0004244E" w:rsidP="00852298">
            <w:pPr>
              <w:pStyle w:val="T-BODY"/>
              <w:jc w:val="both"/>
              <w:rPr>
                <w:rFonts w:asciiTheme="minorHAnsi" w:hAnsiTheme="minorHAnsi" w:cstheme="minorHAnsi"/>
                <w:sz w:val="22"/>
                <w:szCs w:val="22"/>
              </w:rPr>
            </w:pPr>
          </w:p>
        </w:tc>
        <w:tc>
          <w:tcPr>
            <w:tcW w:w="2655" w:type="dxa"/>
          </w:tcPr>
          <w:p w14:paraId="0292DFE4" w14:textId="77777777" w:rsidR="0004244E" w:rsidRPr="000C6B89" w:rsidRDefault="0004244E" w:rsidP="00852298">
            <w:pPr>
              <w:pStyle w:val="T-BODY"/>
              <w:jc w:val="both"/>
              <w:rPr>
                <w:rFonts w:asciiTheme="minorHAnsi" w:hAnsiTheme="minorHAnsi" w:cstheme="minorHAnsi"/>
                <w:b/>
                <w:sz w:val="22"/>
                <w:szCs w:val="22"/>
              </w:rPr>
            </w:pPr>
          </w:p>
        </w:tc>
      </w:tr>
    </w:tbl>
    <w:p w14:paraId="01D44BA1" w14:textId="77777777" w:rsidR="00714FB7" w:rsidRDefault="00714FB7"/>
    <w:sectPr w:rsidR="00714F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ilpa" w:date="2020-04-20T22:34:00Z" w:initials="S">
    <w:p w14:paraId="6999FFCE" w14:textId="77777777" w:rsidR="00A86C7C" w:rsidRDefault="00A86C7C">
      <w:pPr>
        <w:pStyle w:val="CommentText"/>
      </w:pPr>
      <w:r>
        <w:rPr>
          <w:rStyle w:val="CommentReference"/>
        </w:rPr>
        <w:annotationRef/>
      </w:r>
      <w:r>
        <w:t xml:space="preserve"> Please add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9FF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7168"/>
    <w:multiLevelType w:val="hybridMultilevel"/>
    <w:tmpl w:val="E86AE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BF97521"/>
    <w:multiLevelType w:val="hybridMultilevel"/>
    <w:tmpl w:val="24AAE1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lpa">
    <w15:presenceInfo w15:providerId="AD" w15:userId="S-1-5-21-2090324672-2644705719-1519531048-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E6"/>
    <w:rsid w:val="0004244E"/>
    <w:rsid w:val="00191DE6"/>
    <w:rsid w:val="005D59F4"/>
    <w:rsid w:val="00714FB7"/>
    <w:rsid w:val="00983A84"/>
    <w:rsid w:val="00A86C7C"/>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350D"/>
  <w15:chartTrackingRefBased/>
  <w15:docId w15:val="{14725BC0-1693-4A28-8F19-7C3B76A0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C7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C7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
    <w:name w:val="T-BODY"/>
    <w:basedOn w:val="Normal"/>
    <w:uiPriority w:val="99"/>
    <w:rsid w:val="00A86C7C"/>
    <w:pPr>
      <w:widowControl w:val="0"/>
      <w:suppressAutoHyphens/>
      <w:autoSpaceDE w:val="0"/>
      <w:autoSpaceDN w:val="0"/>
      <w:adjustRightInd w:val="0"/>
      <w:spacing w:after="0" w:line="240" w:lineRule="auto"/>
    </w:pPr>
    <w:rPr>
      <w:rFonts w:ascii="Times New Roman" w:eastAsiaTheme="minorEastAsia" w:hAnsi="Times New Roman" w:cs="Times New Roman"/>
      <w:color w:val="000000"/>
      <w:sz w:val="20"/>
      <w:szCs w:val="21"/>
      <w:lang w:val="en-GB"/>
    </w:rPr>
  </w:style>
  <w:style w:type="paragraph" w:customStyle="1" w:styleId="indent1">
    <w:name w:val="indent1"/>
    <w:basedOn w:val="Normal"/>
    <w:rsid w:val="00A86C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86C7C"/>
    <w:pPr>
      <w:ind w:left="720"/>
      <w:contextualSpacing/>
    </w:pPr>
  </w:style>
  <w:style w:type="character" w:styleId="CommentReference">
    <w:name w:val="annotation reference"/>
    <w:basedOn w:val="DefaultParagraphFont"/>
    <w:uiPriority w:val="99"/>
    <w:semiHidden/>
    <w:unhideWhenUsed/>
    <w:rsid w:val="00A86C7C"/>
    <w:rPr>
      <w:sz w:val="16"/>
      <w:szCs w:val="16"/>
    </w:rPr>
  </w:style>
  <w:style w:type="paragraph" w:styleId="CommentText">
    <w:name w:val="annotation text"/>
    <w:basedOn w:val="Normal"/>
    <w:link w:val="CommentTextChar"/>
    <w:uiPriority w:val="99"/>
    <w:semiHidden/>
    <w:unhideWhenUsed/>
    <w:rsid w:val="00A86C7C"/>
    <w:pPr>
      <w:spacing w:line="240" w:lineRule="auto"/>
    </w:pPr>
    <w:rPr>
      <w:sz w:val="20"/>
      <w:szCs w:val="20"/>
    </w:rPr>
  </w:style>
  <w:style w:type="character" w:customStyle="1" w:styleId="CommentTextChar">
    <w:name w:val="Comment Text Char"/>
    <w:basedOn w:val="DefaultParagraphFont"/>
    <w:link w:val="CommentText"/>
    <w:uiPriority w:val="99"/>
    <w:semiHidden/>
    <w:rsid w:val="00A86C7C"/>
    <w:rPr>
      <w:sz w:val="20"/>
      <w:szCs w:val="20"/>
      <w:lang w:val="en-IN"/>
    </w:rPr>
  </w:style>
  <w:style w:type="paragraph" w:styleId="CommentSubject">
    <w:name w:val="annotation subject"/>
    <w:basedOn w:val="CommentText"/>
    <w:next w:val="CommentText"/>
    <w:link w:val="CommentSubjectChar"/>
    <w:uiPriority w:val="99"/>
    <w:semiHidden/>
    <w:unhideWhenUsed/>
    <w:rsid w:val="00A86C7C"/>
    <w:rPr>
      <w:b/>
      <w:bCs/>
    </w:rPr>
  </w:style>
  <w:style w:type="character" w:customStyle="1" w:styleId="CommentSubjectChar">
    <w:name w:val="Comment Subject Char"/>
    <w:basedOn w:val="CommentTextChar"/>
    <w:link w:val="CommentSubject"/>
    <w:uiPriority w:val="99"/>
    <w:semiHidden/>
    <w:rsid w:val="00A86C7C"/>
    <w:rPr>
      <w:b/>
      <w:bCs/>
      <w:sz w:val="20"/>
      <w:szCs w:val="20"/>
      <w:lang w:val="en-IN"/>
    </w:rPr>
  </w:style>
  <w:style w:type="paragraph" w:styleId="BalloonText">
    <w:name w:val="Balloon Text"/>
    <w:basedOn w:val="Normal"/>
    <w:link w:val="BalloonTextChar"/>
    <w:uiPriority w:val="99"/>
    <w:semiHidden/>
    <w:unhideWhenUsed/>
    <w:rsid w:val="00A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7C"/>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dc:creator>
  <cp:keywords/>
  <dc:description/>
  <cp:lastModifiedBy>Shilpa</cp:lastModifiedBy>
  <cp:revision>4</cp:revision>
  <dcterms:created xsi:type="dcterms:W3CDTF">2020-04-20T17:02:00Z</dcterms:created>
  <dcterms:modified xsi:type="dcterms:W3CDTF">2020-04-20T17:06:00Z</dcterms:modified>
</cp:coreProperties>
</file>